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8F5" w:rsidRPr="00FE38F5" w:rsidRDefault="00DF327D" w:rsidP="00FE38F5">
      <w:pPr>
        <w:jc w:val="center"/>
        <w:rPr>
          <w:b/>
        </w:rPr>
      </w:pPr>
      <w:r>
        <w:rPr>
          <w:b/>
        </w:rPr>
        <w:t>О</w:t>
      </w:r>
      <w:r w:rsidR="00FE38F5" w:rsidRPr="00FE38F5">
        <w:rPr>
          <w:b/>
        </w:rPr>
        <w:t>просн</w:t>
      </w:r>
      <w:r>
        <w:rPr>
          <w:b/>
        </w:rPr>
        <w:t>ый</w:t>
      </w:r>
      <w:r w:rsidR="00FE38F5" w:rsidRPr="00FE38F5">
        <w:rPr>
          <w:b/>
        </w:rPr>
        <w:t xml:space="preserve"> лист при проведении публичных консультаций</w:t>
      </w:r>
    </w:p>
    <w:p w:rsidR="00FE38F5" w:rsidRPr="00FE38F5" w:rsidRDefault="00FE38F5" w:rsidP="00FE38F5">
      <w:pPr>
        <w:jc w:val="center"/>
        <w:rPr>
          <w:b/>
        </w:rPr>
      </w:pPr>
      <w:r w:rsidRPr="00FE38F5">
        <w:rPr>
          <w:b/>
        </w:rPr>
        <w:t>в рамках экспертизы муниципального нормативного правового акта</w:t>
      </w:r>
    </w:p>
    <w:p w:rsidR="00AD7541" w:rsidRPr="006A787A" w:rsidRDefault="00AD7541" w:rsidP="00AD7541"/>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7541" w:rsidRPr="006A787A" w:rsidTr="00D62BD7">
        <w:tc>
          <w:tcPr>
            <w:tcW w:w="9923" w:type="dxa"/>
            <w:tcBorders>
              <w:bottom w:val="single" w:sz="4" w:space="0" w:color="auto"/>
            </w:tcBorders>
            <w:shd w:val="clear" w:color="auto" w:fill="auto"/>
          </w:tcPr>
          <w:p w:rsidR="00AD7541" w:rsidRPr="006A787A" w:rsidRDefault="00AD7541" w:rsidP="001D0F56">
            <w:pPr>
              <w:jc w:val="center"/>
              <w:rPr>
                <w:b/>
                <w:sz w:val="24"/>
                <w:szCs w:val="24"/>
              </w:rPr>
            </w:pPr>
            <w:r w:rsidRPr="006A787A">
              <w:rPr>
                <w:b/>
                <w:sz w:val="24"/>
                <w:szCs w:val="24"/>
              </w:rPr>
              <w:t>Перечень вопросов в рамках проведения публичного обсуждения</w:t>
            </w:r>
          </w:p>
          <w:p w:rsidR="00DF327D" w:rsidRDefault="00DF327D" w:rsidP="001D0F56">
            <w:pPr>
              <w:jc w:val="both"/>
              <w:rPr>
                <w:sz w:val="24"/>
                <w:szCs w:val="24"/>
                <w:u w:val="single"/>
              </w:rPr>
            </w:pPr>
            <w:r w:rsidRPr="005B2A9B">
              <w:rPr>
                <w:sz w:val="24"/>
                <w:szCs w:val="24"/>
                <w:u w:val="single"/>
              </w:rPr>
              <w:t xml:space="preserve">Постановление № </w:t>
            </w:r>
            <w:r w:rsidR="00CB2A22">
              <w:rPr>
                <w:sz w:val="24"/>
                <w:szCs w:val="24"/>
                <w:u w:val="single"/>
              </w:rPr>
              <w:t>2023</w:t>
            </w:r>
            <w:r w:rsidRPr="005B2A9B">
              <w:rPr>
                <w:sz w:val="24"/>
                <w:szCs w:val="24"/>
                <w:u w:val="single"/>
              </w:rPr>
              <w:t xml:space="preserve"> от </w:t>
            </w:r>
            <w:r w:rsidR="00CB2A22">
              <w:rPr>
                <w:sz w:val="24"/>
                <w:szCs w:val="24"/>
                <w:u w:val="single"/>
              </w:rPr>
              <w:t>04.10.2017</w:t>
            </w:r>
            <w:r w:rsidRPr="005B2A9B">
              <w:rPr>
                <w:sz w:val="24"/>
                <w:szCs w:val="24"/>
                <w:u w:val="single"/>
              </w:rPr>
              <w:t xml:space="preserve"> «Об утверждении Порядка </w:t>
            </w:r>
            <w:r w:rsidR="00CB2A22">
              <w:rPr>
                <w:sz w:val="24"/>
                <w:szCs w:val="24"/>
                <w:u w:val="single"/>
              </w:rPr>
              <w:t>выдачи разрешения на установку некапитальных нестационарных сооружений, произведений монументально-декоративного искусства</w:t>
            </w:r>
            <w:r>
              <w:rPr>
                <w:sz w:val="24"/>
                <w:szCs w:val="24"/>
                <w:u w:val="single"/>
              </w:rPr>
              <w:t xml:space="preserve"> на</w:t>
            </w:r>
            <w:r w:rsidR="00CB2A22">
              <w:rPr>
                <w:sz w:val="24"/>
                <w:szCs w:val="24"/>
                <w:u w:val="single"/>
              </w:rPr>
              <w:t xml:space="preserve"> межселенной</w:t>
            </w:r>
            <w:r>
              <w:rPr>
                <w:sz w:val="24"/>
                <w:szCs w:val="24"/>
                <w:u w:val="single"/>
              </w:rPr>
              <w:t xml:space="preserve"> территории </w:t>
            </w:r>
            <w:r w:rsidRPr="005B2A9B">
              <w:rPr>
                <w:sz w:val="24"/>
                <w:szCs w:val="24"/>
                <w:u w:val="single"/>
              </w:rPr>
              <w:t>Нижневартовского района»</w:t>
            </w:r>
          </w:p>
          <w:p w:rsidR="009B42C3" w:rsidRPr="009B42C3" w:rsidRDefault="009B42C3" w:rsidP="001D0F56">
            <w:pPr>
              <w:jc w:val="both"/>
              <w:rPr>
                <w:sz w:val="16"/>
                <w:szCs w:val="16"/>
                <w:u w:val="single"/>
              </w:rPr>
            </w:pPr>
          </w:p>
          <w:p w:rsidR="00AD7541" w:rsidRPr="006A787A" w:rsidRDefault="00AD7541" w:rsidP="001D0F56">
            <w:pPr>
              <w:jc w:val="both"/>
              <w:rPr>
                <w:sz w:val="24"/>
                <w:szCs w:val="24"/>
              </w:rPr>
            </w:pPr>
            <w:r w:rsidRPr="006A787A">
              <w:rPr>
                <w:sz w:val="24"/>
                <w:szCs w:val="24"/>
              </w:rPr>
              <w:t>Пожалуйста, заполните и направьте данную форму по электронной почте на адрес</w:t>
            </w:r>
            <w:r w:rsidR="00064E84">
              <w:rPr>
                <w:sz w:val="24"/>
                <w:szCs w:val="24"/>
              </w:rPr>
              <w:t xml:space="preserve"> </w:t>
            </w:r>
            <w:hyperlink r:id="rId8" w:history="1">
              <w:r w:rsidR="009B42C3" w:rsidRPr="009B42C3">
                <w:rPr>
                  <w:rStyle w:val="af9"/>
                  <w:sz w:val="22"/>
                  <w:szCs w:val="22"/>
                  <w:lang w:val="en-US"/>
                </w:rPr>
                <w:t>Uaig</w:t>
              </w:r>
              <w:r w:rsidR="009B42C3" w:rsidRPr="009B42C3">
                <w:rPr>
                  <w:rStyle w:val="af9"/>
                  <w:sz w:val="22"/>
                  <w:szCs w:val="22"/>
                </w:rPr>
                <w:t>@NVraion.ru</w:t>
              </w:r>
            </w:hyperlink>
            <w:r w:rsidR="009B42C3" w:rsidRPr="009B42C3">
              <w:rPr>
                <w:rStyle w:val="af9"/>
                <w:sz w:val="22"/>
                <w:szCs w:val="22"/>
              </w:rPr>
              <w:t xml:space="preserve">, </w:t>
            </w:r>
            <w:hyperlink r:id="rId9" w:history="1">
              <w:proofErr w:type="gramStart"/>
              <w:r w:rsidR="009B42C3" w:rsidRPr="009B42C3">
                <w:rPr>
                  <w:rStyle w:val="af9"/>
                  <w:sz w:val="22"/>
                  <w:szCs w:val="22"/>
                  <w:lang w:val="en-US"/>
                </w:rPr>
                <w:t>ProkofevVY</w:t>
              </w:r>
              <w:r w:rsidR="009B42C3" w:rsidRPr="009B42C3">
                <w:rPr>
                  <w:rStyle w:val="af9"/>
                  <w:sz w:val="22"/>
                  <w:szCs w:val="22"/>
                </w:rPr>
                <w:t>@NVraion.ru</w:t>
              </w:r>
            </w:hyperlink>
            <w:r w:rsidR="00064E84">
              <w:rPr>
                <w:rStyle w:val="af9"/>
                <w:sz w:val="22"/>
                <w:szCs w:val="22"/>
              </w:rPr>
              <w:t xml:space="preserve">  </w:t>
            </w:r>
            <w:r w:rsidR="00064E84" w:rsidRPr="00064E84">
              <w:rPr>
                <w:sz w:val="24"/>
                <w:szCs w:val="24"/>
              </w:rPr>
              <w:t>или</w:t>
            </w:r>
            <w:proofErr w:type="gramEnd"/>
            <w:r w:rsidR="00064E84" w:rsidRPr="00064E84">
              <w:rPr>
                <w:sz w:val="24"/>
                <w:szCs w:val="24"/>
              </w:rPr>
              <w:t xml:space="preserve"> заполните данную форму на </w:t>
            </w:r>
            <w:r w:rsidR="00064E84">
              <w:rPr>
                <w:sz w:val="24"/>
                <w:szCs w:val="24"/>
              </w:rPr>
              <w:t xml:space="preserve">портале проектов НПА </w:t>
            </w:r>
            <w:hyperlink r:id="rId10" w:history="1">
              <w:r w:rsidR="00064E84" w:rsidRPr="00F21F56">
                <w:rPr>
                  <w:rStyle w:val="af9"/>
                  <w:sz w:val="24"/>
                  <w:szCs w:val="24"/>
                </w:rPr>
                <w:t>https://regulation.admhmao.ru</w:t>
              </w:r>
            </w:hyperlink>
            <w:r w:rsidR="00064E84">
              <w:rPr>
                <w:rStyle w:val="af9"/>
                <w:sz w:val="24"/>
                <w:szCs w:val="24"/>
              </w:rPr>
              <w:t xml:space="preserve"> </w:t>
            </w:r>
            <w:r w:rsidRPr="006A787A">
              <w:rPr>
                <w:sz w:val="24"/>
                <w:szCs w:val="24"/>
              </w:rPr>
              <w:t xml:space="preserve">не позднее </w:t>
            </w:r>
            <w:r w:rsidR="007269FA" w:rsidRPr="007269FA">
              <w:rPr>
                <w:sz w:val="24"/>
                <w:szCs w:val="24"/>
                <w:u w:val="single"/>
              </w:rPr>
              <w:t>12</w:t>
            </w:r>
            <w:r w:rsidR="009B42C3" w:rsidRPr="007269FA">
              <w:rPr>
                <w:sz w:val="24"/>
                <w:szCs w:val="24"/>
                <w:u w:val="single"/>
              </w:rPr>
              <w:t xml:space="preserve"> </w:t>
            </w:r>
            <w:r w:rsidR="007269FA" w:rsidRPr="007269FA">
              <w:rPr>
                <w:sz w:val="24"/>
                <w:szCs w:val="24"/>
                <w:u w:val="single"/>
              </w:rPr>
              <w:t xml:space="preserve">июля </w:t>
            </w:r>
            <w:r w:rsidR="009B42C3" w:rsidRPr="007269FA">
              <w:rPr>
                <w:sz w:val="24"/>
                <w:szCs w:val="24"/>
                <w:u w:val="single"/>
              </w:rPr>
              <w:t>202</w:t>
            </w:r>
            <w:r w:rsidR="007269FA" w:rsidRPr="007269FA">
              <w:rPr>
                <w:sz w:val="24"/>
                <w:szCs w:val="24"/>
                <w:u w:val="single"/>
              </w:rPr>
              <w:t>1</w:t>
            </w:r>
          </w:p>
          <w:p w:rsidR="00AD7541" w:rsidRPr="009B42C3" w:rsidRDefault="00AD7541" w:rsidP="001D0F56">
            <w:pPr>
              <w:jc w:val="center"/>
              <w:rPr>
                <w:sz w:val="16"/>
                <w:szCs w:val="16"/>
              </w:rPr>
            </w:pPr>
          </w:p>
          <w:p w:rsidR="00AD7541" w:rsidRPr="006A787A" w:rsidRDefault="00AD7541" w:rsidP="001D0F56">
            <w:pPr>
              <w:jc w:val="both"/>
              <w:rPr>
                <w:sz w:val="24"/>
                <w:szCs w:val="24"/>
              </w:rPr>
            </w:pPr>
            <w:r w:rsidRPr="006A787A">
              <w:rPr>
                <w:sz w:val="24"/>
                <w:szCs w:val="24"/>
              </w:rPr>
              <w:t>Орган, осуществляющий экспертизу муниципального нормативного правового</w:t>
            </w:r>
            <w:bookmarkStart w:id="0" w:name="_GoBack"/>
            <w:bookmarkEnd w:id="0"/>
            <w:r w:rsidRPr="006A787A">
              <w:rPr>
                <w:sz w:val="24"/>
                <w:szCs w:val="24"/>
              </w:rPr>
              <w:t xml:space="preserve"> акта,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7541" w:rsidRPr="006A787A" w:rsidRDefault="00AD7541" w:rsidP="00AD7541">
      <w:pPr>
        <w:rPr>
          <w:sz w:val="24"/>
          <w:szCs w:val="24"/>
        </w:rPr>
      </w:pPr>
    </w:p>
    <w:p w:rsidR="00AD7541" w:rsidRPr="006A787A" w:rsidRDefault="00AD7541" w:rsidP="00D62BD7">
      <w:pPr>
        <w:pBdr>
          <w:top w:val="single" w:sz="4" w:space="1" w:color="auto"/>
          <w:left w:val="single" w:sz="4" w:space="13"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9B42C3" w:rsidRPr="00FE38F5" w:rsidRDefault="009B42C3" w:rsidP="00D62BD7">
      <w:pPr>
        <w:pBdr>
          <w:top w:val="single" w:sz="4" w:space="1" w:color="auto"/>
          <w:left w:val="single" w:sz="4" w:space="13" w:color="auto"/>
          <w:bottom w:val="single" w:sz="4" w:space="1" w:color="auto"/>
          <w:right w:val="single" w:sz="4" w:space="0" w:color="auto"/>
        </w:pBdr>
        <w:jc w:val="both"/>
        <w:rPr>
          <w:sz w:val="24"/>
          <w:szCs w:val="24"/>
        </w:rPr>
      </w:pPr>
      <w:r w:rsidRPr="00FE38F5">
        <w:rPr>
          <w:sz w:val="24"/>
          <w:szCs w:val="24"/>
        </w:rPr>
        <w:t>По Вашему желанию укажите:</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Наименование организации __________________________________________________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Сфера деятельности организации 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Фамилия, имя, отчество контактного лица 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Номер контактного телефона __________________________________________________</w:t>
      </w:r>
    </w:p>
    <w:p w:rsidR="00AD7541" w:rsidRPr="006A787A" w:rsidRDefault="00AD7541" w:rsidP="00D62BD7">
      <w:pPr>
        <w:pBdr>
          <w:top w:val="single" w:sz="4" w:space="1" w:color="auto"/>
          <w:left w:val="single" w:sz="4" w:space="13" w:color="auto"/>
          <w:bottom w:val="single" w:sz="4" w:space="1" w:color="auto"/>
          <w:right w:val="single" w:sz="4" w:space="0" w:color="auto"/>
        </w:pBdr>
        <w:jc w:val="both"/>
        <w:rPr>
          <w:sz w:val="24"/>
          <w:szCs w:val="24"/>
        </w:rPr>
      </w:pPr>
      <w:r w:rsidRPr="006A787A">
        <w:rPr>
          <w:sz w:val="24"/>
          <w:szCs w:val="24"/>
        </w:rPr>
        <w:t>Адрес электронной почты ____________________________________________________</w:t>
      </w:r>
    </w:p>
    <w:p w:rsidR="00AD7541" w:rsidRPr="006A787A" w:rsidRDefault="00AD7541" w:rsidP="00AD7541">
      <w:pPr>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D7541" w:rsidRPr="006A787A" w:rsidTr="001D0F56">
        <w:trPr>
          <w:trHeight w:val="397"/>
        </w:trPr>
        <w:tc>
          <w:tcPr>
            <w:tcW w:w="9923" w:type="dxa"/>
            <w:tcBorders>
              <w:top w:val="single" w:sz="4" w:space="0" w:color="auto"/>
            </w:tcBorders>
            <w:shd w:val="clear" w:color="auto" w:fill="auto"/>
            <w:vAlign w:val="bottom"/>
          </w:tcPr>
          <w:p w:rsidR="00AD7541" w:rsidRPr="006A787A" w:rsidRDefault="00AD7541" w:rsidP="00AD7541">
            <w:pPr>
              <w:numPr>
                <w:ilvl w:val="0"/>
                <w:numId w:val="16"/>
              </w:numPr>
              <w:tabs>
                <w:tab w:val="num" w:pos="1169"/>
              </w:tabs>
              <w:ind w:left="0" w:firstLine="720"/>
              <w:jc w:val="both"/>
              <w:rPr>
                <w:i/>
                <w:sz w:val="24"/>
                <w:szCs w:val="24"/>
              </w:rPr>
            </w:pPr>
            <w:r w:rsidRPr="006A787A">
              <w:rPr>
                <w:i/>
                <w:sz w:val="24"/>
                <w:szCs w:val="24"/>
              </w:rPr>
              <w:t>Обоснованы ли нормы, содержащиеся в муниципальном нормативном правовом акте?</w:t>
            </w:r>
          </w:p>
        </w:tc>
      </w:tr>
      <w:tr w:rsidR="00AD7541" w:rsidRPr="006A787A" w:rsidTr="001D0F56">
        <w:trPr>
          <w:trHeight w:val="261"/>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AD7541" w:rsidRPr="006A787A" w:rsidTr="001D0F56">
        <w:trPr>
          <w:trHeight w:val="86"/>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 xml:space="preserve">Существуют ли на Ваш взгляд, иные наиболее эффективные и менее затратные для органа, осуществляющего экспертизу муниципальных нормативных правовых актов,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AD7541" w:rsidRPr="006A787A" w:rsidTr="001D0F56">
        <w:trPr>
          <w:trHeight w:val="113"/>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 структурным подразделением,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AD7541" w:rsidRPr="006A787A" w:rsidTr="001D0F56">
        <w:trPr>
          <w:trHeight w:val="218"/>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vAlign w:val="bottom"/>
          </w:tcPr>
          <w:p w:rsidR="00AD7541" w:rsidRPr="006A787A" w:rsidRDefault="00AD7541" w:rsidP="00AD7541">
            <w:pPr>
              <w:numPr>
                <w:ilvl w:val="0"/>
                <w:numId w:val="16"/>
              </w:numPr>
              <w:ind w:left="0" w:firstLine="567"/>
              <w:jc w:val="both"/>
              <w:rPr>
                <w:i/>
                <w:sz w:val="24"/>
                <w:szCs w:val="24"/>
              </w:rPr>
            </w:pPr>
            <w:r w:rsidRPr="006A787A">
              <w:rPr>
                <w:i/>
                <w:sz w:val="24"/>
                <w:szCs w:val="24"/>
              </w:rPr>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AD7541" w:rsidRPr="006A787A" w:rsidTr="001D0F56">
        <w:trPr>
          <w:trHeight w:val="197"/>
        </w:trPr>
        <w:tc>
          <w:tcPr>
            <w:tcW w:w="9923" w:type="dxa"/>
            <w:shd w:val="clear" w:color="auto" w:fill="auto"/>
            <w:vAlign w:val="bottom"/>
          </w:tcPr>
          <w:p w:rsidR="00AD7541" w:rsidRPr="006A787A" w:rsidRDefault="00AD7541" w:rsidP="001D0F56">
            <w:pPr>
              <w:ind w:firstLine="567"/>
              <w:jc w:val="both"/>
              <w:rPr>
                <w:sz w:val="24"/>
                <w:szCs w:val="24"/>
              </w:rPr>
            </w:pPr>
          </w:p>
        </w:tc>
      </w:tr>
      <w:tr w:rsidR="00AD7541" w:rsidRPr="006A787A" w:rsidTr="001D0F56">
        <w:trPr>
          <w:trHeight w:val="397"/>
        </w:trPr>
        <w:tc>
          <w:tcPr>
            <w:tcW w:w="9923" w:type="dxa"/>
            <w:shd w:val="clear" w:color="auto" w:fill="auto"/>
          </w:tcPr>
          <w:p w:rsidR="00AD7541" w:rsidRPr="006A787A" w:rsidRDefault="00AD7541" w:rsidP="001D0F56">
            <w:pPr>
              <w:ind w:firstLine="567"/>
              <w:jc w:val="both"/>
              <w:rPr>
                <w:i/>
                <w:sz w:val="24"/>
                <w:szCs w:val="24"/>
              </w:rPr>
            </w:pPr>
            <w:r w:rsidRPr="006A787A">
              <w:rPr>
                <w:i/>
                <w:sz w:val="24"/>
                <w:szCs w:val="24"/>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AD7541" w:rsidRPr="006A787A" w:rsidTr="001D0F56">
        <w:trPr>
          <w:trHeight w:val="70"/>
        </w:trPr>
        <w:tc>
          <w:tcPr>
            <w:tcW w:w="9923" w:type="dxa"/>
            <w:shd w:val="clear" w:color="auto" w:fill="auto"/>
          </w:tcPr>
          <w:p w:rsidR="00AD7541" w:rsidRPr="006A787A" w:rsidRDefault="00AD7541" w:rsidP="001D0F56">
            <w:pPr>
              <w:ind w:firstLine="567"/>
              <w:jc w:val="both"/>
              <w:rPr>
                <w:sz w:val="24"/>
                <w:szCs w:val="24"/>
              </w:rPr>
            </w:pP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11"/>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945" w:rsidRDefault="00A10945">
      <w:r>
        <w:separator/>
      </w:r>
    </w:p>
  </w:endnote>
  <w:endnote w:type="continuationSeparator" w:id="0">
    <w:p w:rsidR="00A10945" w:rsidRDefault="00A1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945" w:rsidRDefault="00A10945">
      <w:r>
        <w:separator/>
      </w:r>
    </w:p>
  </w:footnote>
  <w:footnote w:type="continuationSeparator" w:id="0">
    <w:p w:rsidR="00A10945" w:rsidRDefault="00A10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2E" w:rsidRDefault="00501F2E">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17"/>
  </w:num>
  <w:num w:numId="11">
    <w:abstractNumId w:val="14"/>
  </w:num>
  <w:num w:numId="12">
    <w:abstractNumId w:val="10"/>
  </w:num>
  <w:num w:numId="13">
    <w:abstractNumId w:val="5"/>
  </w:num>
  <w:num w:numId="14">
    <w:abstractNumId w:val="13"/>
  </w:num>
  <w:num w:numId="15">
    <w:abstractNumId w:val="11"/>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4E84"/>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1A6E"/>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269FA"/>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151F"/>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52D4"/>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899"/>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42C3"/>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0945"/>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541"/>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306B"/>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086C"/>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2A22"/>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2BD7"/>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09B2"/>
    <w:rsid w:val="00DD1CA5"/>
    <w:rsid w:val="00DD4052"/>
    <w:rsid w:val="00DD4FAC"/>
    <w:rsid w:val="00DD5947"/>
    <w:rsid w:val="00DD5C11"/>
    <w:rsid w:val="00DE29E4"/>
    <w:rsid w:val="00DE3E53"/>
    <w:rsid w:val="00DE4C46"/>
    <w:rsid w:val="00DF0D93"/>
    <w:rsid w:val="00DF0F7A"/>
    <w:rsid w:val="00DF1556"/>
    <w:rsid w:val="00DF2A19"/>
    <w:rsid w:val="00DF327D"/>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BD11583-CE03-4BA5-8A11-85B6574F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aig@NVra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gulation.admhmao.ru" TargetMode="External"/><Relationship Id="rId4" Type="http://schemas.openxmlformats.org/officeDocument/2006/relationships/settings" Target="settings.xml"/><Relationship Id="rId9" Type="http://schemas.openxmlformats.org/officeDocument/2006/relationships/hyperlink" Target="mailto:ProkofevVY@NV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B6E7B-6493-4DA0-BB3C-B67C345F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Заостровных Лариса Валерьевна</cp:lastModifiedBy>
  <cp:revision>10</cp:revision>
  <cp:lastPrinted>2015-06-16T06:13:00Z</cp:lastPrinted>
  <dcterms:created xsi:type="dcterms:W3CDTF">2018-07-06T12:22:00Z</dcterms:created>
  <dcterms:modified xsi:type="dcterms:W3CDTF">2021-06-08T05:49:00Z</dcterms:modified>
</cp:coreProperties>
</file>